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89987D9" w14:textId="4396BA6D" w:rsidR="00FF6FB5" w:rsidRDefault="00727AA2">
      <w:pPr>
        <w:spacing w:line="240" w:lineRule="auto"/>
        <w:jc w:val="center"/>
        <w:rPr>
          <w:rFonts w:ascii="Calibri" w:eastAsia="Calibri" w:hAnsi="Calibri" w:cs="Calibri"/>
          <w:b/>
          <w:color w:val="244061"/>
          <w:sz w:val="28"/>
          <w:szCs w:val="28"/>
        </w:rPr>
      </w:pPr>
      <w:r>
        <w:rPr>
          <w:rFonts w:ascii="Calibri" w:eastAsia="Calibri" w:hAnsi="Calibri" w:cs="Calibri"/>
          <w:b/>
          <w:color w:val="244061"/>
          <w:sz w:val="28"/>
          <w:szCs w:val="28"/>
        </w:rPr>
        <w:t>Minuta</w:t>
      </w:r>
    </w:p>
    <w:p w14:paraId="14FD701E" w14:textId="77777777" w:rsidR="00FF6FB5" w:rsidRDefault="00FF6FB5">
      <w:pPr>
        <w:pStyle w:val="Ttulo1"/>
        <w:keepLines w:val="0"/>
        <w:spacing w:before="0" w:after="0" w:line="240" w:lineRule="auto"/>
        <w:ind w:firstLine="1"/>
        <w:jc w:val="center"/>
        <w:rPr>
          <w:b/>
          <w:sz w:val="22"/>
          <w:szCs w:val="22"/>
        </w:rPr>
      </w:pPr>
    </w:p>
    <w:p w14:paraId="59C2F208" w14:textId="6398C616" w:rsidR="00FF6FB5" w:rsidRPr="008B0247" w:rsidRDefault="00727AA2">
      <w:pPr>
        <w:pStyle w:val="Ttulo1"/>
        <w:keepLines w:val="0"/>
        <w:spacing w:before="0" w:after="0" w:line="240" w:lineRule="auto"/>
        <w:ind w:firstLine="1"/>
        <w:jc w:val="center"/>
        <w:rPr>
          <w:b/>
          <w:sz w:val="20"/>
          <w:szCs w:val="20"/>
        </w:rPr>
      </w:pPr>
      <w:r w:rsidRPr="008B0247">
        <w:rPr>
          <w:b/>
          <w:sz w:val="20"/>
          <w:szCs w:val="20"/>
        </w:rPr>
        <w:t>Capacitación</w:t>
      </w:r>
      <w:r w:rsidR="00C65716" w:rsidRPr="008B0247">
        <w:rPr>
          <w:b/>
          <w:sz w:val="20"/>
          <w:szCs w:val="20"/>
        </w:rPr>
        <w:t xml:space="preserve"> Plan de Formación </w:t>
      </w:r>
      <w:r w:rsidRPr="008B0247">
        <w:rPr>
          <w:b/>
          <w:sz w:val="20"/>
          <w:szCs w:val="20"/>
        </w:rPr>
        <w:t>para la Resiliencia R</w:t>
      </w:r>
      <w:r w:rsidR="00C65716" w:rsidRPr="008B0247">
        <w:rPr>
          <w:b/>
          <w:sz w:val="20"/>
          <w:szCs w:val="20"/>
        </w:rPr>
        <w:t xml:space="preserve">egión de Los Lagos </w:t>
      </w:r>
    </w:p>
    <w:p w14:paraId="7E28F683" w14:textId="4C27E90E" w:rsidR="00501BD0" w:rsidRPr="008B0247" w:rsidRDefault="00501BD0" w:rsidP="00501BD0">
      <w:pPr>
        <w:rPr>
          <w:b/>
          <w:sz w:val="20"/>
          <w:szCs w:val="20"/>
        </w:rPr>
      </w:pPr>
      <w:r w:rsidRPr="008B0247">
        <w:rPr>
          <w:sz w:val="20"/>
          <w:szCs w:val="20"/>
        </w:rPr>
        <w:tab/>
      </w:r>
      <w:r w:rsidRPr="008B0247">
        <w:rPr>
          <w:sz w:val="20"/>
          <w:szCs w:val="20"/>
        </w:rPr>
        <w:tab/>
      </w:r>
      <w:r w:rsidRPr="008B0247">
        <w:rPr>
          <w:b/>
          <w:sz w:val="20"/>
          <w:szCs w:val="20"/>
        </w:rPr>
        <w:t>Comité Villa Los Ríos de la Comuna de San pablo</w:t>
      </w:r>
    </w:p>
    <w:tbl>
      <w:tblPr>
        <w:tblStyle w:val="a"/>
        <w:tblpPr w:leftFromText="141" w:rightFromText="141" w:vertAnchor="text" w:tblpX="3270"/>
        <w:tblW w:w="31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05"/>
      </w:tblGrid>
      <w:tr w:rsidR="00FF6FB5" w14:paraId="7E159D65" w14:textId="77777777">
        <w:tc>
          <w:tcPr>
            <w:tcW w:w="3105" w:type="dxa"/>
          </w:tcPr>
          <w:p w14:paraId="26CC1385" w14:textId="77777777" w:rsidR="00FF6FB5" w:rsidRDefault="00C65716">
            <w:pPr>
              <w:tabs>
                <w:tab w:val="center" w:pos="4419"/>
                <w:tab w:val="right" w:pos="8838"/>
              </w:tabs>
              <w:spacing w:line="240" w:lineRule="auto"/>
              <w:jc w:val="center"/>
            </w:pPr>
            <w:r>
              <w:t>Fecha: 15-05-2025</w:t>
            </w:r>
          </w:p>
        </w:tc>
      </w:tr>
    </w:tbl>
    <w:p w14:paraId="1E4421DB" w14:textId="77777777" w:rsidR="00FF6FB5" w:rsidRDefault="00FF6FB5">
      <w:pPr>
        <w:spacing w:line="240" w:lineRule="auto"/>
        <w:jc w:val="center"/>
      </w:pPr>
    </w:p>
    <w:p w14:paraId="325E908B" w14:textId="77777777" w:rsidR="00501BD0" w:rsidRDefault="00501BD0">
      <w:pPr>
        <w:spacing w:line="240" w:lineRule="auto"/>
        <w:jc w:val="center"/>
      </w:pPr>
    </w:p>
    <w:p w14:paraId="15A9C4DC" w14:textId="77777777" w:rsidR="008B0247" w:rsidRPr="00501BD0" w:rsidRDefault="008B0247" w:rsidP="008B0247">
      <w:pPr>
        <w:pStyle w:val="NormalWeb"/>
        <w:ind w:left="720"/>
        <w:jc w:val="both"/>
        <w:rPr>
          <w:rFonts w:asciiTheme="majorHAnsi" w:hAnsiTheme="majorHAnsi" w:cstheme="majorHAnsi"/>
          <w:sz w:val="20"/>
          <w:szCs w:val="20"/>
        </w:rPr>
      </w:pPr>
      <w:r w:rsidRPr="00501BD0">
        <w:rPr>
          <w:rFonts w:asciiTheme="majorHAnsi" w:hAnsiTheme="majorHAnsi" w:cstheme="majorHAnsi"/>
          <w:sz w:val="20"/>
          <w:szCs w:val="20"/>
        </w:rPr>
        <w:t>Chile es un país altamente expuesto a amenazas naturales y climáticas, lo que plantea desafíos significativos para el desarrollo seguro y sostenible de sus territorios, especialmente en contextos de alta vulnerabilidad como los asentamientos precarios. En este escenario, la gestión del riesgo de desastres (GRD) se ha consolidado como una prioridad transversal en las políticas públicas, requiriendo un enfoque preventivo, participativo y territorialmente contextualizado.</w:t>
      </w:r>
    </w:p>
    <w:p w14:paraId="2CF1EFE2" w14:textId="77777777" w:rsidR="008B0247" w:rsidRDefault="008B0247" w:rsidP="008B0247">
      <w:pPr>
        <w:pStyle w:val="NormalWeb"/>
        <w:ind w:left="720"/>
        <w:jc w:val="both"/>
        <w:rPr>
          <w:rFonts w:asciiTheme="majorHAnsi" w:hAnsiTheme="majorHAnsi" w:cstheme="majorHAnsi"/>
          <w:sz w:val="20"/>
          <w:szCs w:val="20"/>
        </w:rPr>
      </w:pPr>
      <w:r w:rsidRPr="00501BD0">
        <w:rPr>
          <w:rFonts w:asciiTheme="majorHAnsi" w:hAnsiTheme="majorHAnsi" w:cstheme="majorHAnsi"/>
          <w:sz w:val="20"/>
          <w:szCs w:val="20"/>
        </w:rPr>
        <w:t xml:space="preserve">Esta actividad orienta las acciones de fortalecimiento institucional y empoderamiento comunitario en el ámbito de la reducción del riesgo de desastres. Su propósito es avanzar desde una intervención reactiva hacia una gestión anticipada, preventiva y estratégica. </w:t>
      </w:r>
      <w:r w:rsidRPr="00501BD0">
        <w:rPr>
          <w:rFonts w:asciiTheme="majorHAnsi" w:hAnsiTheme="majorHAnsi" w:cstheme="majorHAnsi"/>
          <w:b/>
          <w:bCs/>
          <w:sz w:val="20"/>
          <w:szCs w:val="20"/>
        </w:rPr>
        <w:t>Se destaca el valor de la capacitación presencial como una herramienta clave para un aprendizaje más significativo y efectivo</w:t>
      </w:r>
      <w:r w:rsidRPr="00501BD0">
        <w:rPr>
          <w:rFonts w:asciiTheme="majorHAnsi" w:hAnsiTheme="majorHAnsi" w:cstheme="majorHAnsi"/>
          <w:sz w:val="20"/>
          <w:szCs w:val="20"/>
        </w:rPr>
        <w:t>, permitiendo una mayor apropiación de conocimientos y fortalecimiento del vínculo con las comunidades. De este modo, se busca promover territorios más seguros, organizados y resilientes, capaces de enfrentar de manera efectiva los efectos adversos de los desastres naturales y del cambio climático.</w:t>
      </w:r>
    </w:p>
    <w:p w14:paraId="588C8146" w14:textId="77777777" w:rsidR="008B0247" w:rsidRDefault="008B0247" w:rsidP="008B0247">
      <w:pPr>
        <w:pStyle w:val="NormalWeb"/>
        <w:ind w:left="720"/>
        <w:jc w:val="both"/>
        <w:rPr>
          <w:rFonts w:asciiTheme="majorHAnsi" w:hAnsiTheme="majorHAnsi" w:cstheme="majorHAnsi"/>
          <w:sz w:val="20"/>
          <w:szCs w:val="20"/>
        </w:rPr>
      </w:pPr>
      <w:r>
        <w:rPr>
          <w:rFonts w:asciiTheme="majorHAnsi" w:hAnsiTheme="majorHAnsi" w:cstheme="majorHAnsi"/>
          <w:sz w:val="20"/>
          <w:szCs w:val="20"/>
        </w:rPr>
        <w:t>En la exposición se puso especial énfasis en la Gobernanza que tiene el País y la Ley 21364 que estableció el Sistema Nacional de Prevención y Respuesta, así como también la constitución de los Comités de Gestión de Riesgos a Nivel Nacional, Regional, Provincial, y Comunal.</w:t>
      </w:r>
    </w:p>
    <w:p w14:paraId="214841E8" w14:textId="77777777" w:rsidR="008B0247" w:rsidRDefault="008B0247" w:rsidP="008B0247">
      <w:pPr>
        <w:pStyle w:val="NormalWeb"/>
        <w:ind w:left="720"/>
        <w:jc w:val="both"/>
        <w:rPr>
          <w:rFonts w:asciiTheme="majorHAnsi" w:hAnsiTheme="majorHAnsi" w:cstheme="majorHAnsi"/>
          <w:sz w:val="20"/>
          <w:szCs w:val="20"/>
        </w:rPr>
      </w:pPr>
      <w:r>
        <w:rPr>
          <w:rFonts w:asciiTheme="majorHAnsi" w:hAnsiTheme="majorHAnsi" w:cstheme="majorHAnsi"/>
          <w:sz w:val="20"/>
          <w:szCs w:val="20"/>
        </w:rPr>
        <w:t>También se Capacito en el Plan Familia Preparada y sus 8 pasos colocando mucho énfasis en el aspecto de poder contar con un plan familiar y de conocer los organismos de cara a la respuesta, así como también la importancia de la práctica del Plan</w:t>
      </w:r>
    </w:p>
    <w:p w14:paraId="5B36541E" w14:textId="53A43C93" w:rsidR="00FF6FB5" w:rsidRPr="00C65716" w:rsidRDefault="008B0247" w:rsidP="0017075C">
      <w:pPr>
        <w:pStyle w:val="NormalWeb"/>
        <w:ind w:left="720"/>
        <w:jc w:val="both"/>
        <w:rPr>
          <w:rFonts w:asciiTheme="majorHAnsi" w:hAnsiTheme="majorHAnsi" w:cstheme="majorHAnsi"/>
          <w:b/>
          <w:bCs/>
          <w:sz w:val="20"/>
          <w:szCs w:val="20"/>
        </w:rPr>
      </w:pPr>
      <w:r w:rsidRPr="00501BD0">
        <w:rPr>
          <w:rFonts w:asciiTheme="majorHAnsi" w:hAnsiTheme="majorHAnsi" w:cstheme="majorHAnsi"/>
          <w:sz w:val="20"/>
          <w:szCs w:val="20"/>
        </w:rPr>
        <w:t>Activi</w:t>
      </w:r>
      <w:r>
        <w:rPr>
          <w:rFonts w:asciiTheme="majorHAnsi" w:hAnsiTheme="majorHAnsi" w:cstheme="majorHAnsi"/>
          <w:sz w:val="20"/>
          <w:szCs w:val="20"/>
        </w:rPr>
        <w:t>dad</w:t>
      </w:r>
      <w:r w:rsidRPr="00501BD0">
        <w:rPr>
          <w:rFonts w:asciiTheme="majorHAnsi" w:hAnsiTheme="majorHAnsi" w:cstheme="majorHAnsi"/>
          <w:sz w:val="20"/>
          <w:szCs w:val="20"/>
        </w:rPr>
        <w:t xml:space="preserve"> del Plan de Acompañamiento Social Conformación Nuevo Barrio Comité Villa Los Ríos de la Comuna de San pablo, 1</w:t>
      </w:r>
      <w:r>
        <w:rPr>
          <w:rFonts w:asciiTheme="majorHAnsi" w:hAnsiTheme="majorHAnsi" w:cstheme="majorHAnsi"/>
          <w:sz w:val="20"/>
          <w:szCs w:val="20"/>
        </w:rPr>
        <w:t>12</w:t>
      </w:r>
      <w:r w:rsidRPr="00501BD0">
        <w:rPr>
          <w:rFonts w:asciiTheme="majorHAnsi" w:hAnsiTheme="majorHAnsi" w:cstheme="majorHAnsi"/>
          <w:sz w:val="20"/>
          <w:szCs w:val="20"/>
        </w:rPr>
        <w:t xml:space="preserve"> Familias se capacitaron en la </w:t>
      </w:r>
      <w:r w:rsidRPr="00BF2728">
        <w:rPr>
          <w:rFonts w:asciiTheme="majorHAnsi" w:hAnsiTheme="majorHAnsi" w:cstheme="majorHAnsi"/>
          <w:b/>
          <w:bCs/>
          <w:sz w:val="20"/>
          <w:szCs w:val="20"/>
        </w:rPr>
        <w:t>Nueva Institucionalidad y el Plan de Familia</w:t>
      </w:r>
      <w:r>
        <w:rPr>
          <w:rFonts w:asciiTheme="majorHAnsi" w:hAnsiTheme="majorHAnsi" w:cstheme="majorHAnsi"/>
          <w:b/>
          <w:bCs/>
          <w:sz w:val="20"/>
          <w:szCs w:val="20"/>
        </w:rPr>
        <w:t xml:space="preserve"> </w:t>
      </w:r>
      <w:r w:rsidRPr="00BF2728">
        <w:rPr>
          <w:rFonts w:asciiTheme="majorHAnsi" w:hAnsiTheme="majorHAnsi" w:cstheme="majorHAnsi"/>
          <w:b/>
          <w:bCs/>
          <w:sz w:val="20"/>
          <w:szCs w:val="20"/>
        </w:rPr>
        <w:t>Preparada</w:t>
      </w:r>
      <w:r w:rsidR="00C65716">
        <w:rPr>
          <w:rFonts w:asciiTheme="majorHAnsi" w:hAnsiTheme="majorHAnsi" w:cstheme="majorHAnsi"/>
          <w:b/>
          <w:bCs/>
          <w:sz w:val="20"/>
          <w:szCs w:val="20"/>
        </w:rPr>
        <w:t>.</w:t>
      </w:r>
      <w:r>
        <w:rPr>
          <w:rFonts w:ascii="Calibri" w:eastAsia="Calibri" w:hAnsi="Calibri" w:cs="Calibri"/>
          <w:b/>
          <w:sz w:val="22"/>
          <w:szCs w:val="22"/>
        </w:rPr>
        <w:t xml:space="preserve"> </w:t>
      </w:r>
      <w:r w:rsidR="0017075C" w:rsidRPr="00C65716">
        <w:rPr>
          <w:rFonts w:asciiTheme="majorHAnsi" w:hAnsiTheme="majorHAnsi" w:cstheme="majorHAnsi"/>
          <w:sz w:val="20"/>
          <w:szCs w:val="20"/>
        </w:rPr>
        <w:t xml:space="preserve">Imagen </w:t>
      </w:r>
      <w:r w:rsidR="00487F68" w:rsidRPr="00C65716">
        <w:rPr>
          <w:rFonts w:asciiTheme="majorHAnsi" w:hAnsiTheme="majorHAnsi" w:cstheme="majorHAnsi"/>
          <w:sz w:val="20"/>
          <w:szCs w:val="20"/>
        </w:rPr>
        <w:t>1:</w:t>
      </w:r>
      <w:r w:rsidR="0017075C" w:rsidRPr="00C65716">
        <w:rPr>
          <w:rFonts w:asciiTheme="majorHAnsi" w:hAnsiTheme="majorHAnsi" w:cstheme="majorHAnsi"/>
          <w:sz w:val="20"/>
          <w:szCs w:val="20"/>
        </w:rPr>
        <w:t xml:space="preserve"> </w:t>
      </w:r>
      <w:r w:rsidR="00A4480B" w:rsidRPr="00C65716">
        <w:rPr>
          <w:rFonts w:asciiTheme="majorHAnsi" w:hAnsiTheme="majorHAnsi" w:cstheme="majorHAnsi"/>
          <w:b/>
          <w:bCs/>
          <w:sz w:val="20"/>
          <w:szCs w:val="20"/>
        </w:rPr>
        <w:t>Capacitación Nueva</w:t>
      </w:r>
      <w:r w:rsidR="005552DF" w:rsidRPr="00C65716">
        <w:rPr>
          <w:rFonts w:asciiTheme="majorHAnsi" w:hAnsiTheme="majorHAnsi" w:cstheme="majorHAnsi"/>
          <w:b/>
          <w:bCs/>
          <w:sz w:val="20"/>
          <w:szCs w:val="20"/>
        </w:rPr>
        <w:t xml:space="preserve"> Institucionalidad y </w:t>
      </w:r>
      <w:r w:rsidR="00C65716" w:rsidRPr="00C65716">
        <w:rPr>
          <w:rFonts w:asciiTheme="majorHAnsi" w:hAnsiTheme="majorHAnsi" w:cstheme="majorHAnsi"/>
          <w:b/>
          <w:bCs/>
          <w:sz w:val="20"/>
          <w:szCs w:val="20"/>
        </w:rPr>
        <w:t xml:space="preserve">Familia Preparada </w:t>
      </w:r>
      <w:bookmarkStart w:id="0" w:name="_edtl16l6e6h5" w:colFirst="0" w:colLast="0"/>
      <w:bookmarkStart w:id="1" w:name="_6wt0icwxxkzm" w:colFirst="0" w:colLast="0"/>
      <w:bookmarkStart w:id="2" w:name="_qpv29qemwy23" w:colFirst="0" w:colLast="0"/>
      <w:bookmarkStart w:id="3" w:name="_ciomrq2g6p1t" w:colFirst="0" w:colLast="0"/>
      <w:bookmarkStart w:id="4" w:name="_q06g9g46v69f" w:colFirst="0" w:colLast="0"/>
      <w:bookmarkEnd w:id="0"/>
      <w:bookmarkEnd w:id="1"/>
      <w:bookmarkEnd w:id="2"/>
      <w:bookmarkEnd w:id="3"/>
      <w:bookmarkEnd w:id="4"/>
    </w:p>
    <w:p w14:paraId="4E45E880" w14:textId="0EA24F67" w:rsidR="00FF6FB5" w:rsidRDefault="0017075C">
      <w:pPr>
        <w:jc w:val="center"/>
      </w:pPr>
      <w:r>
        <w:rPr>
          <w:noProof/>
        </w:rPr>
        <w:drawing>
          <wp:anchor distT="0" distB="0" distL="114300" distR="114300" simplePos="0" relativeHeight="251658240" behindDoc="0" locked="0" layoutInCell="1" allowOverlap="1" wp14:anchorId="7322D109" wp14:editId="575D5F3B">
            <wp:simplePos x="0" y="0"/>
            <wp:positionH relativeFrom="column">
              <wp:posOffset>523875</wp:posOffset>
            </wp:positionH>
            <wp:positionV relativeFrom="paragraph">
              <wp:posOffset>9525</wp:posOffset>
            </wp:positionV>
            <wp:extent cx="4362450" cy="2924175"/>
            <wp:effectExtent l="0" t="0" r="0" b="9525"/>
            <wp:wrapSquare wrapText="bothSides"/>
            <wp:docPr id="4" name="image5.jpg"/>
            <wp:cNvGraphicFramePr/>
            <a:graphic xmlns:a="http://schemas.openxmlformats.org/drawingml/2006/main">
              <a:graphicData uri="http://schemas.openxmlformats.org/drawingml/2006/picture">
                <pic:pic xmlns:pic="http://schemas.openxmlformats.org/drawingml/2006/picture">
                  <pic:nvPicPr>
                    <pic:cNvPr id="0" name="image5.jpg"/>
                    <pic:cNvPicPr preferRelativeResize="0"/>
                  </pic:nvPicPr>
                  <pic:blipFill>
                    <a:blip r:embed="rId7" cstate="print">
                      <a:extLst>
                        <a:ext uri="{28A0092B-C50C-407E-A947-70E740481C1C}">
                          <a14:useLocalDpi xmlns:a14="http://schemas.microsoft.com/office/drawing/2010/main" val="0"/>
                        </a:ext>
                      </a:extLst>
                    </a:blip>
                    <a:srcRect/>
                    <a:stretch>
                      <a:fillRect/>
                    </a:stretch>
                  </pic:blipFill>
                  <pic:spPr>
                    <a:xfrm>
                      <a:off x="0" y="0"/>
                      <a:ext cx="4362450" cy="2924175"/>
                    </a:xfrm>
                    <a:prstGeom prst="rect">
                      <a:avLst/>
                    </a:prstGeom>
                    <a:ln/>
                  </pic:spPr>
                </pic:pic>
              </a:graphicData>
            </a:graphic>
            <wp14:sizeRelH relativeFrom="margin">
              <wp14:pctWidth>0</wp14:pctWidth>
            </wp14:sizeRelH>
            <wp14:sizeRelV relativeFrom="margin">
              <wp14:pctHeight>0</wp14:pctHeight>
            </wp14:sizeRelV>
          </wp:anchor>
        </w:drawing>
      </w:r>
    </w:p>
    <w:p w14:paraId="6AF55C07" w14:textId="67ECB055" w:rsidR="00FF6FB5" w:rsidRDefault="00FF6FB5">
      <w:pPr>
        <w:spacing w:line="240" w:lineRule="auto"/>
        <w:jc w:val="both"/>
        <w:rPr>
          <w:rFonts w:ascii="Calibri" w:eastAsia="Calibri" w:hAnsi="Calibri" w:cs="Calibri"/>
          <w:b/>
          <w:color w:val="0F243E"/>
        </w:rPr>
      </w:pPr>
    </w:p>
    <w:p w14:paraId="5F4ED8F9" w14:textId="399FC16B" w:rsidR="00FF6FB5" w:rsidRDefault="00FF6FB5">
      <w:pPr>
        <w:spacing w:line="240" w:lineRule="auto"/>
        <w:jc w:val="both"/>
        <w:rPr>
          <w:rFonts w:ascii="Calibri" w:eastAsia="Calibri" w:hAnsi="Calibri" w:cs="Calibri"/>
          <w:b/>
          <w:color w:val="0F243E"/>
        </w:rPr>
      </w:pPr>
    </w:p>
    <w:p w14:paraId="6EE6AC2F" w14:textId="5B42040D" w:rsidR="00FF6FB5" w:rsidRDefault="00FF6FB5">
      <w:pPr>
        <w:spacing w:line="240" w:lineRule="auto"/>
        <w:jc w:val="both"/>
        <w:rPr>
          <w:rFonts w:ascii="Calibri" w:eastAsia="Calibri" w:hAnsi="Calibri" w:cs="Calibri"/>
          <w:b/>
          <w:color w:val="0F243E"/>
        </w:rPr>
      </w:pPr>
    </w:p>
    <w:p w14:paraId="22687E36" w14:textId="268AB527" w:rsidR="00FF6FB5" w:rsidRDefault="00FF6FB5">
      <w:pPr>
        <w:spacing w:line="240" w:lineRule="auto"/>
        <w:jc w:val="both"/>
        <w:rPr>
          <w:rFonts w:ascii="Calibri" w:eastAsia="Calibri" w:hAnsi="Calibri" w:cs="Calibri"/>
          <w:b/>
          <w:color w:val="0F243E"/>
        </w:rPr>
      </w:pPr>
    </w:p>
    <w:p w14:paraId="1DBEB044" w14:textId="24946E35" w:rsidR="00FF6FB5" w:rsidRDefault="00FF6FB5">
      <w:pPr>
        <w:spacing w:line="240" w:lineRule="auto"/>
        <w:jc w:val="both"/>
        <w:rPr>
          <w:rFonts w:ascii="Calibri" w:eastAsia="Calibri" w:hAnsi="Calibri" w:cs="Calibri"/>
          <w:b/>
          <w:color w:val="0F243E"/>
        </w:rPr>
      </w:pPr>
    </w:p>
    <w:p w14:paraId="76D17C62" w14:textId="707A5721" w:rsidR="00FF6FB5" w:rsidRDefault="00FF6FB5">
      <w:pPr>
        <w:spacing w:line="240" w:lineRule="auto"/>
        <w:jc w:val="both"/>
        <w:rPr>
          <w:rFonts w:ascii="Calibri" w:eastAsia="Calibri" w:hAnsi="Calibri" w:cs="Calibri"/>
          <w:b/>
          <w:color w:val="0F243E"/>
        </w:rPr>
      </w:pPr>
    </w:p>
    <w:p w14:paraId="5D9DB06A" w14:textId="7EB0511B" w:rsidR="00FF6FB5" w:rsidRDefault="00FF6FB5">
      <w:pPr>
        <w:spacing w:line="240" w:lineRule="auto"/>
        <w:jc w:val="both"/>
        <w:rPr>
          <w:rFonts w:ascii="Calibri" w:eastAsia="Calibri" w:hAnsi="Calibri" w:cs="Calibri"/>
          <w:b/>
          <w:color w:val="0F243E"/>
        </w:rPr>
      </w:pPr>
    </w:p>
    <w:p w14:paraId="0585B33E" w14:textId="210ECD4D" w:rsidR="00FF6FB5" w:rsidRDefault="00FF6FB5">
      <w:pPr>
        <w:spacing w:line="240" w:lineRule="auto"/>
        <w:jc w:val="both"/>
        <w:rPr>
          <w:rFonts w:ascii="Calibri" w:eastAsia="Calibri" w:hAnsi="Calibri" w:cs="Calibri"/>
          <w:b/>
          <w:color w:val="0F243E"/>
        </w:rPr>
      </w:pPr>
    </w:p>
    <w:p w14:paraId="753A181A" w14:textId="71596F69" w:rsidR="00FF6FB5" w:rsidRDefault="00FF6FB5">
      <w:pPr>
        <w:spacing w:line="240" w:lineRule="auto"/>
        <w:jc w:val="both"/>
        <w:rPr>
          <w:rFonts w:ascii="Calibri" w:eastAsia="Calibri" w:hAnsi="Calibri" w:cs="Calibri"/>
          <w:b/>
          <w:color w:val="0F243E"/>
        </w:rPr>
      </w:pPr>
    </w:p>
    <w:p w14:paraId="50BBA1B1" w14:textId="2FB38516" w:rsidR="00FF6FB5" w:rsidRDefault="00FF6FB5">
      <w:pPr>
        <w:spacing w:line="240" w:lineRule="auto"/>
        <w:jc w:val="both"/>
        <w:rPr>
          <w:rFonts w:ascii="Calibri" w:eastAsia="Calibri" w:hAnsi="Calibri" w:cs="Calibri"/>
          <w:b/>
          <w:color w:val="0F243E"/>
        </w:rPr>
      </w:pPr>
    </w:p>
    <w:p w14:paraId="4936F411" w14:textId="6F97F81D" w:rsidR="00FF6FB5" w:rsidRDefault="00FF6FB5">
      <w:pPr>
        <w:spacing w:line="240" w:lineRule="auto"/>
        <w:jc w:val="both"/>
        <w:rPr>
          <w:rFonts w:ascii="Calibri" w:eastAsia="Calibri" w:hAnsi="Calibri" w:cs="Calibri"/>
          <w:b/>
          <w:color w:val="0F243E"/>
        </w:rPr>
      </w:pPr>
    </w:p>
    <w:p w14:paraId="7E5F7F64" w14:textId="77777777" w:rsidR="00FF6FB5" w:rsidRDefault="00FF6FB5"/>
    <w:p w14:paraId="30A72CB8" w14:textId="77777777" w:rsidR="00FF6FB5" w:rsidRDefault="00FF6FB5"/>
    <w:p w14:paraId="186B5F65" w14:textId="00D646B2" w:rsidR="00FF6FB5" w:rsidRDefault="00FF6FB5">
      <w:pPr>
        <w:rPr>
          <w:rFonts w:ascii="Calibri" w:eastAsia="Calibri" w:hAnsi="Calibri" w:cs="Calibri"/>
          <w:b/>
        </w:rPr>
      </w:pPr>
    </w:p>
    <w:p w14:paraId="6A376348" w14:textId="77777777" w:rsidR="00FF6FB5" w:rsidRDefault="00FF6FB5"/>
    <w:p w14:paraId="69E8A6D5" w14:textId="75EF53CA" w:rsidR="00FF6FB5" w:rsidRDefault="00C65716">
      <w:r>
        <w:t xml:space="preserve">   </w:t>
      </w:r>
    </w:p>
    <w:sectPr w:rsidR="00FF6FB5">
      <w:head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0C764EE" w14:textId="77777777" w:rsidR="00C65716" w:rsidRDefault="00C65716">
      <w:pPr>
        <w:spacing w:line="240" w:lineRule="auto"/>
      </w:pPr>
      <w:r>
        <w:separator/>
      </w:r>
    </w:p>
  </w:endnote>
  <w:endnote w:type="continuationSeparator" w:id="0">
    <w:p w14:paraId="6F42A60E" w14:textId="77777777" w:rsidR="00C65716" w:rsidRDefault="00C6571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33E62E6" w14:textId="77777777" w:rsidR="00C65716" w:rsidRDefault="00C65716">
      <w:pPr>
        <w:spacing w:line="240" w:lineRule="auto"/>
      </w:pPr>
      <w:r>
        <w:separator/>
      </w:r>
    </w:p>
  </w:footnote>
  <w:footnote w:type="continuationSeparator" w:id="0">
    <w:p w14:paraId="341E3320" w14:textId="77777777" w:rsidR="00C65716" w:rsidRDefault="00C65716">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71FE92" w14:textId="77777777" w:rsidR="00FF6FB5" w:rsidRDefault="00C65716">
    <w:pPr>
      <w:tabs>
        <w:tab w:val="center" w:pos="4419"/>
        <w:tab w:val="right" w:pos="8838"/>
      </w:tabs>
      <w:spacing w:line="240" w:lineRule="auto"/>
    </w:pPr>
    <w:r>
      <w:rPr>
        <w:rFonts w:ascii="Times New Roman" w:eastAsia="Times New Roman" w:hAnsi="Times New Roman" w:cs="Times New Roman"/>
        <w:noProof/>
        <w:sz w:val="20"/>
        <w:szCs w:val="20"/>
      </w:rPr>
      <w:drawing>
        <wp:inline distT="114300" distB="114300" distL="114300" distR="114300" wp14:anchorId="28ABD3B3" wp14:editId="62E54F25">
          <wp:extent cx="858203" cy="780771"/>
          <wp:effectExtent l="0" t="0" r="0" b="0"/>
          <wp:docPr id="1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
                  <a:srcRect/>
                  <a:stretch>
                    <a:fillRect/>
                  </a:stretch>
                </pic:blipFill>
                <pic:spPr>
                  <a:xfrm>
                    <a:off x="0" y="0"/>
                    <a:ext cx="858203" cy="78077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6AD40EA2"/>
    <w:multiLevelType w:val="multilevel"/>
    <w:tmpl w:val="38C441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40823738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2"/>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F6FB5"/>
    <w:rsid w:val="0004539B"/>
    <w:rsid w:val="0017075C"/>
    <w:rsid w:val="00487F68"/>
    <w:rsid w:val="00501BD0"/>
    <w:rsid w:val="005552DF"/>
    <w:rsid w:val="005E676C"/>
    <w:rsid w:val="00727AA2"/>
    <w:rsid w:val="0079388E"/>
    <w:rsid w:val="008351F0"/>
    <w:rsid w:val="008B0247"/>
    <w:rsid w:val="009C3DB0"/>
    <w:rsid w:val="00A4480B"/>
    <w:rsid w:val="00BF2728"/>
    <w:rsid w:val="00C41E28"/>
    <w:rsid w:val="00C65716"/>
    <w:rsid w:val="00C938C9"/>
    <w:rsid w:val="00D54615"/>
    <w:rsid w:val="00FF6FB5"/>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C3D12"/>
  <w15:docId w15:val="{766D2A1B-608A-4002-8D80-4D1C55D204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es" w:eastAsia="es-CL"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left w:w="115" w:type="dxa"/>
        <w:right w:w="115" w:type="dxa"/>
      </w:tblCellMar>
    </w:tblPr>
  </w:style>
  <w:style w:type="paragraph" w:customStyle="1" w:styleId="paragraph">
    <w:name w:val="paragraph"/>
    <w:basedOn w:val="Normal"/>
    <w:rsid w:val="00C938C9"/>
    <w:pPr>
      <w:spacing w:before="100" w:beforeAutospacing="1" w:after="100" w:afterAutospacing="1" w:line="240" w:lineRule="auto"/>
    </w:pPr>
    <w:rPr>
      <w:rFonts w:ascii="Times New Roman" w:eastAsia="Times New Roman" w:hAnsi="Times New Roman" w:cs="Times New Roman"/>
      <w:sz w:val="24"/>
      <w:szCs w:val="24"/>
      <w:lang w:val="es-CL"/>
    </w:rPr>
  </w:style>
  <w:style w:type="character" w:customStyle="1" w:styleId="normaltextrun">
    <w:name w:val="normaltextrun"/>
    <w:basedOn w:val="Fuentedeprrafopredeter"/>
    <w:rsid w:val="00C938C9"/>
  </w:style>
  <w:style w:type="character" w:customStyle="1" w:styleId="eop">
    <w:name w:val="eop"/>
    <w:basedOn w:val="Fuentedeprrafopredeter"/>
    <w:rsid w:val="00C938C9"/>
  </w:style>
  <w:style w:type="paragraph" w:styleId="NormalWeb">
    <w:name w:val="Normal (Web)"/>
    <w:basedOn w:val="Normal"/>
    <w:uiPriority w:val="99"/>
    <w:unhideWhenUsed/>
    <w:rsid w:val="00C938C9"/>
    <w:pPr>
      <w:spacing w:before="100" w:beforeAutospacing="1" w:after="100" w:afterAutospacing="1" w:line="240" w:lineRule="auto"/>
    </w:pPr>
    <w:rPr>
      <w:rFonts w:ascii="Times New Roman" w:eastAsia="Times New Roman" w:hAnsi="Times New Roman" w:cs="Times New Roman"/>
      <w:sz w:val="24"/>
      <w:szCs w:val="24"/>
      <w:lang w:val="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54452047">
      <w:bodyDiv w:val="1"/>
      <w:marLeft w:val="0"/>
      <w:marRight w:val="0"/>
      <w:marTop w:val="0"/>
      <w:marBottom w:val="0"/>
      <w:divBdr>
        <w:top w:val="none" w:sz="0" w:space="0" w:color="auto"/>
        <w:left w:val="none" w:sz="0" w:space="0" w:color="auto"/>
        <w:bottom w:val="none" w:sz="0" w:space="0" w:color="auto"/>
        <w:right w:val="none" w:sz="0" w:space="0" w:color="auto"/>
      </w:divBdr>
    </w:div>
    <w:div w:id="1812362907">
      <w:bodyDiv w:val="1"/>
      <w:marLeft w:val="0"/>
      <w:marRight w:val="0"/>
      <w:marTop w:val="0"/>
      <w:marBottom w:val="0"/>
      <w:divBdr>
        <w:top w:val="none" w:sz="0" w:space="0" w:color="auto"/>
        <w:left w:val="none" w:sz="0" w:space="0" w:color="auto"/>
        <w:bottom w:val="none" w:sz="0" w:space="0" w:color="auto"/>
        <w:right w:val="none" w:sz="0" w:space="0" w:color="auto"/>
      </w:divBdr>
      <w:divsChild>
        <w:div w:id="1584141656">
          <w:marLeft w:val="0"/>
          <w:marRight w:val="0"/>
          <w:marTop w:val="0"/>
          <w:marBottom w:val="0"/>
          <w:divBdr>
            <w:top w:val="none" w:sz="0" w:space="0" w:color="auto"/>
            <w:left w:val="none" w:sz="0" w:space="0" w:color="auto"/>
            <w:bottom w:val="none" w:sz="0" w:space="0" w:color="auto"/>
            <w:right w:val="none" w:sz="0" w:space="0" w:color="auto"/>
          </w:divBdr>
        </w:div>
        <w:div w:id="1567688676">
          <w:marLeft w:val="0"/>
          <w:marRight w:val="0"/>
          <w:marTop w:val="0"/>
          <w:marBottom w:val="0"/>
          <w:divBdr>
            <w:top w:val="none" w:sz="0" w:space="0" w:color="auto"/>
            <w:left w:val="none" w:sz="0" w:space="0" w:color="auto"/>
            <w:bottom w:val="none" w:sz="0" w:space="0" w:color="auto"/>
            <w:right w:val="none" w:sz="0" w:space="0" w:color="auto"/>
          </w:divBdr>
        </w:div>
        <w:div w:id="972293102">
          <w:marLeft w:val="0"/>
          <w:marRight w:val="0"/>
          <w:marTop w:val="0"/>
          <w:marBottom w:val="0"/>
          <w:divBdr>
            <w:top w:val="none" w:sz="0" w:space="0" w:color="auto"/>
            <w:left w:val="none" w:sz="0" w:space="0" w:color="auto"/>
            <w:bottom w:val="none" w:sz="0" w:space="0" w:color="auto"/>
            <w:right w:val="none" w:sz="0" w:space="0" w:color="auto"/>
          </w:divBdr>
        </w:div>
        <w:div w:id="1162113792">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328</Words>
  <Characters>1805</Characters>
  <Application>Microsoft Office Word</Application>
  <DocSecurity>4</DocSecurity>
  <Lines>15</Lines>
  <Paragraphs>4</Paragraphs>
  <ScaleCrop>false</ScaleCrop>
  <HeadingPairs>
    <vt:vector size="2" baseType="variant">
      <vt:variant>
        <vt:lpstr>Título</vt:lpstr>
      </vt:variant>
      <vt:variant>
        <vt:i4>1</vt:i4>
      </vt:variant>
    </vt:vector>
  </HeadingPairs>
  <TitlesOfParts>
    <vt:vector size="1" baseType="lpstr">
      <vt:lpstr/>
    </vt:vector>
  </TitlesOfParts>
  <Company>Ministerio de Vivienda</Company>
  <LinksUpToDate>false</LinksUpToDate>
  <CharactersWithSpaces>2129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 Alcayaga Sepulveda</dc:creator>
  <cp:lastModifiedBy>Vanessa Toledo Oliva</cp:lastModifiedBy>
  <cp:revision>2</cp:revision>
  <dcterms:created xsi:type="dcterms:W3CDTF">2025-06-09T19:12:00Z</dcterms:created>
  <dcterms:modified xsi:type="dcterms:W3CDTF">2025-06-09T19:12:00Z</dcterms:modified>
</cp:coreProperties>
</file>